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8E5D9" w14:textId="1A1F2F4A" w:rsidR="00731670" w:rsidRDefault="00A61914" w:rsidP="00A61914">
      <w:pPr>
        <w:pStyle w:val="af"/>
        <w:rPr>
          <w:rFonts w:eastAsia="宋体"/>
        </w:rPr>
      </w:pPr>
      <w:bookmarkStart w:id="0" w:name="_Hlk132900185"/>
      <w:r w:rsidRPr="003E3B39">
        <w:rPr>
          <w:rFonts w:eastAsia="宋体"/>
        </w:rPr>
        <w:t>Supplementary material</w:t>
      </w:r>
      <w:bookmarkEnd w:id="0"/>
      <w:r w:rsidR="0006335A">
        <w:rPr>
          <w:rFonts w:eastAsia="宋体"/>
        </w:rPr>
        <w:t xml:space="preserve"> 2</w:t>
      </w:r>
    </w:p>
    <w:p w14:paraId="4E0E5A62" w14:textId="17AE4B67" w:rsidR="00A61914" w:rsidRDefault="00A61914" w:rsidP="00A61914">
      <w:pPr>
        <w:ind w:firstLine="420"/>
        <w:rPr>
          <w:rFonts w:eastAsia="宋体"/>
        </w:rPr>
      </w:pPr>
    </w:p>
    <w:p w14:paraId="148F742E" w14:textId="180DE8DB" w:rsidR="00A61914" w:rsidRDefault="00A61914" w:rsidP="00A61914">
      <w:pPr>
        <w:pStyle w:val="a3"/>
        <w:rPr>
          <w:rFonts w:eastAsia="宋体"/>
        </w:rPr>
      </w:pPr>
      <w:bookmarkStart w:id="1" w:name="_GoBack"/>
      <w:bookmarkEnd w:id="1"/>
      <w:r w:rsidRPr="00A61914">
        <w:rPr>
          <w:rFonts w:eastAsia="宋体"/>
        </w:rPr>
        <w:t xml:space="preserve">Supplementary Table 1. </w:t>
      </w:r>
      <w:r w:rsidRPr="00A61914">
        <w:rPr>
          <w:rFonts w:hint="eastAsia"/>
        </w:rPr>
        <w:t>Literature quality evaluation form (NOS).</w:t>
      </w:r>
    </w:p>
    <w:tbl>
      <w:tblPr>
        <w:tblStyle w:val="ae"/>
        <w:tblW w:w="15770" w:type="dxa"/>
        <w:jc w:val="center"/>
        <w:tblLook w:val="04A0" w:firstRow="1" w:lastRow="0" w:firstColumn="1" w:lastColumn="0" w:noHBand="0" w:noVBand="1"/>
      </w:tblPr>
      <w:tblGrid>
        <w:gridCol w:w="1522"/>
        <w:gridCol w:w="1826"/>
        <w:gridCol w:w="1609"/>
        <w:gridCol w:w="1441"/>
        <w:gridCol w:w="1819"/>
        <w:gridCol w:w="2202"/>
        <w:gridCol w:w="1208"/>
        <w:gridCol w:w="1844"/>
        <w:gridCol w:w="1394"/>
        <w:gridCol w:w="905"/>
      </w:tblGrid>
      <w:tr w:rsidR="007D23A1" w:rsidRPr="007D23A1" w14:paraId="2C6328EB" w14:textId="77777777" w:rsidTr="007D23A1">
        <w:trPr>
          <w:trHeight w:val="20"/>
          <w:jc w:val="center"/>
        </w:trPr>
        <w:tc>
          <w:tcPr>
            <w:tcW w:w="1522" w:type="dxa"/>
            <w:vMerge w:val="restart"/>
            <w:noWrap/>
            <w:vAlign w:val="center"/>
            <w:hideMark/>
          </w:tcPr>
          <w:p w14:paraId="00AFB81F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Studies</w:t>
            </w:r>
          </w:p>
        </w:tc>
        <w:tc>
          <w:tcPr>
            <w:tcW w:w="6695" w:type="dxa"/>
            <w:gridSpan w:val="4"/>
            <w:noWrap/>
            <w:vAlign w:val="center"/>
            <w:hideMark/>
          </w:tcPr>
          <w:p w14:paraId="70373A0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Selection</w:t>
            </w:r>
          </w:p>
        </w:tc>
        <w:tc>
          <w:tcPr>
            <w:tcW w:w="2202" w:type="dxa"/>
            <w:noWrap/>
            <w:vAlign w:val="center"/>
            <w:hideMark/>
          </w:tcPr>
          <w:p w14:paraId="11BA044D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Comparability</w:t>
            </w:r>
          </w:p>
        </w:tc>
        <w:tc>
          <w:tcPr>
            <w:tcW w:w="4446" w:type="dxa"/>
            <w:gridSpan w:val="3"/>
            <w:noWrap/>
            <w:vAlign w:val="center"/>
            <w:hideMark/>
          </w:tcPr>
          <w:p w14:paraId="2843B04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Outcome</w:t>
            </w:r>
          </w:p>
        </w:tc>
        <w:tc>
          <w:tcPr>
            <w:tcW w:w="905" w:type="dxa"/>
            <w:vMerge w:val="restart"/>
            <w:noWrap/>
            <w:vAlign w:val="center"/>
            <w:hideMark/>
          </w:tcPr>
          <w:p w14:paraId="47CD5C85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Scores</w:t>
            </w:r>
          </w:p>
        </w:tc>
      </w:tr>
      <w:tr w:rsidR="007D23A1" w:rsidRPr="007D23A1" w14:paraId="199CEC13" w14:textId="77777777" w:rsidTr="007D23A1">
        <w:trPr>
          <w:trHeight w:val="20"/>
          <w:jc w:val="center"/>
        </w:trPr>
        <w:tc>
          <w:tcPr>
            <w:tcW w:w="1522" w:type="dxa"/>
            <w:vMerge/>
            <w:vAlign w:val="center"/>
            <w:hideMark/>
          </w:tcPr>
          <w:p w14:paraId="73258799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</w:p>
        </w:tc>
        <w:tc>
          <w:tcPr>
            <w:tcW w:w="1826" w:type="dxa"/>
            <w:noWrap/>
            <w:vAlign w:val="center"/>
            <w:hideMark/>
          </w:tcPr>
          <w:p w14:paraId="01CFFCA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Representativeness of the exposed cohort</w:t>
            </w:r>
          </w:p>
        </w:tc>
        <w:tc>
          <w:tcPr>
            <w:tcW w:w="1609" w:type="dxa"/>
            <w:noWrap/>
            <w:vAlign w:val="center"/>
            <w:hideMark/>
          </w:tcPr>
          <w:p w14:paraId="231D820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Selection of the non-exposed cohort</w:t>
            </w:r>
          </w:p>
        </w:tc>
        <w:tc>
          <w:tcPr>
            <w:tcW w:w="1441" w:type="dxa"/>
            <w:noWrap/>
            <w:vAlign w:val="center"/>
            <w:hideMark/>
          </w:tcPr>
          <w:p w14:paraId="3E12A9E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Ascertainment of exposure</w:t>
            </w:r>
          </w:p>
        </w:tc>
        <w:tc>
          <w:tcPr>
            <w:tcW w:w="1819" w:type="dxa"/>
            <w:noWrap/>
            <w:vAlign w:val="center"/>
            <w:hideMark/>
          </w:tcPr>
          <w:p w14:paraId="6D0BEAF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Outcome of interest not present at start of study</w:t>
            </w:r>
          </w:p>
        </w:tc>
        <w:tc>
          <w:tcPr>
            <w:tcW w:w="2202" w:type="dxa"/>
            <w:noWrap/>
            <w:vAlign w:val="center"/>
            <w:hideMark/>
          </w:tcPr>
          <w:p w14:paraId="7D41D17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Comparability of cohorts on the basis of the design or analysis</w:t>
            </w:r>
          </w:p>
        </w:tc>
        <w:tc>
          <w:tcPr>
            <w:tcW w:w="1208" w:type="dxa"/>
            <w:noWrap/>
            <w:vAlign w:val="center"/>
            <w:hideMark/>
          </w:tcPr>
          <w:p w14:paraId="610E4E1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Assessment of outcome</w:t>
            </w:r>
          </w:p>
        </w:tc>
        <w:tc>
          <w:tcPr>
            <w:tcW w:w="1844" w:type="dxa"/>
            <w:noWrap/>
            <w:vAlign w:val="center"/>
            <w:hideMark/>
          </w:tcPr>
          <w:p w14:paraId="7CD6FD0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Follow-up long enough for outcomes to occur</w:t>
            </w:r>
          </w:p>
        </w:tc>
        <w:tc>
          <w:tcPr>
            <w:tcW w:w="1394" w:type="dxa"/>
            <w:noWrap/>
            <w:vAlign w:val="center"/>
            <w:hideMark/>
          </w:tcPr>
          <w:p w14:paraId="5EB50D1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Adequacy of follow up of cohorts</w:t>
            </w:r>
          </w:p>
        </w:tc>
        <w:tc>
          <w:tcPr>
            <w:tcW w:w="905" w:type="dxa"/>
            <w:vMerge/>
            <w:vAlign w:val="center"/>
            <w:hideMark/>
          </w:tcPr>
          <w:p w14:paraId="62C423C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</w:p>
        </w:tc>
      </w:tr>
      <w:tr w:rsidR="007D23A1" w:rsidRPr="007D23A1" w14:paraId="19C09021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34194E86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He 2020</w:t>
            </w:r>
          </w:p>
        </w:tc>
        <w:tc>
          <w:tcPr>
            <w:tcW w:w="1826" w:type="dxa"/>
            <w:noWrap/>
            <w:vAlign w:val="center"/>
            <w:hideMark/>
          </w:tcPr>
          <w:p w14:paraId="49E6384E" w14:textId="6A14E621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200AE912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5D9C1E1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493C692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2D9AA12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2024766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31DE700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3D7DBCD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1BC2C30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19F53CA1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0B65F864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Tao 2020</w:t>
            </w:r>
          </w:p>
        </w:tc>
        <w:tc>
          <w:tcPr>
            <w:tcW w:w="1826" w:type="dxa"/>
            <w:noWrap/>
            <w:vAlign w:val="center"/>
            <w:hideMark/>
          </w:tcPr>
          <w:p w14:paraId="61F6C2D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529E440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1CA536D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0935653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6079C98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3B34F6E4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79F0612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15CC8E62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637EFE7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0E0D0E52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7023A9B4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proofErr w:type="spellStart"/>
            <w:r w:rsidRPr="007D23A1">
              <w:rPr>
                <w:rFonts w:eastAsiaTheme="minorEastAsia"/>
                <w:sz w:val="21"/>
              </w:rPr>
              <w:t>Youn</w:t>
            </w:r>
            <w:proofErr w:type="spellEnd"/>
            <w:r w:rsidRPr="007D23A1">
              <w:rPr>
                <w:rFonts w:eastAsiaTheme="minorEastAsia"/>
                <w:sz w:val="21"/>
              </w:rPr>
              <w:t xml:space="preserve"> 2020</w:t>
            </w:r>
          </w:p>
        </w:tc>
        <w:tc>
          <w:tcPr>
            <w:tcW w:w="1826" w:type="dxa"/>
            <w:noWrap/>
            <w:vAlign w:val="center"/>
            <w:hideMark/>
          </w:tcPr>
          <w:p w14:paraId="2332479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5AF1469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752E0DC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02D3A65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0CA06A9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0125CB5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21F5D68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6F34E4F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5B42002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175C5468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25EB2912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proofErr w:type="spellStart"/>
            <w:r w:rsidRPr="007D23A1">
              <w:rPr>
                <w:rFonts w:eastAsiaTheme="minorEastAsia"/>
                <w:sz w:val="21"/>
              </w:rPr>
              <w:t>Cerina</w:t>
            </w:r>
            <w:proofErr w:type="spellEnd"/>
            <w:r w:rsidRPr="007D23A1">
              <w:rPr>
                <w:rFonts w:eastAsiaTheme="minorEastAsia"/>
                <w:sz w:val="21"/>
              </w:rPr>
              <w:t xml:space="preserve"> 2021</w:t>
            </w:r>
          </w:p>
        </w:tc>
        <w:tc>
          <w:tcPr>
            <w:tcW w:w="1826" w:type="dxa"/>
            <w:noWrap/>
            <w:vAlign w:val="center"/>
            <w:hideMark/>
          </w:tcPr>
          <w:p w14:paraId="499363BE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36663F7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0B9CE6F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1D54359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4298C8B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7A5996D4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59FC4E9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3F60796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731F6B1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144C3516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4C1EE7C8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Chu 2021</w:t>
            </w:r>
          </w:p>
        </w:tc>
        <w:tc>
          <w:tcPr>
            <w:tcW w:w="1826" w:type="dxa"/>
            <w:noWrap/>
            <w:vAlign w:val="center"/>
            <w:hideMark/>
          </w:tcPr>
          <w:p w14:paraId="58AEC0DE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4329DCFD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380FB5A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4DB94034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56E0F7F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0F966A5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187B809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55014F5D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2E4E7E3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4E7B12A5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4A9D3634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Liu 2021</w:t>
            </w:r>
          </w:p>
        </w:tc>
        <w:tc>
          <w:tcPr>
            <w:tcW w:w="1826" w:type="dxa"/>
            <w:noWrap/>
            <w:vAlign w:val="center"/>
            <w:hideMark/>
          </w:tcPr>
          <w:p w14:paraId="0C353EFD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71BE1812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24AE522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4E92F73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7721D5C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681368B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4BA4451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77FA4CD4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58624EE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0A302612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62872C64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Yang 2021</w:t>
            </w:r>
          </w:p>
        </w:tc>
        <w:tc>
          <w:tcPr>
            <w:tcW w:w="1826" w:type="dxa"/>
            <w:noWrap/>
            <w:vAlign w:val="center"/>
            <w:hideMark/>
          </w:tcPr>
          <w:p w14:paraId="76BEDA1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12C23F9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410E280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572323E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7A265DE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2CEDCEE6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3A270ED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1394" w:type="dxa"/>
            <w:noWrap/>
            <w:vAlign w:val="center"/>
            <w:hideMark/>
          </w:tcPr>
          <w:p w14:paraId="077049C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79CB600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7</w:t>
            </w:r>
          </w:p>
        </w:tc>
      </w:tr>
      <w:tr w:rsidR="007D23A1" w:rsidRPr="007D23A1" w14:paraId="71D15342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74312A1F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Hwang 2022</w:t>
            </w:r>
          </w:p>
        </w:tc>
        <w:tc>
          <w:tcPr>
            <w:tcW w:w="1826" w:type="dxa"/>
            <w:noWrap/>
            <w:vAlign w:val="center"/>
            <w:hideMark/>
          </w:tcPr>
          <w:p w14:paraId="1D29E03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6A8ABE9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67BEC4A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1C8B290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21B22D7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4B86F6F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13BE09B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7C86DDE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5CFD05B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  <w:tr w:rsidR="007D23A1" w:rsidRPr="007D23A1" w14:paraId="37FD2540" w14:textId="77777777" w:rsidTr="007D23A1">
        <w:trPr>
          <w:trHeight w:val="20"/>
          <w:jc w:val="center"/>
        </w:trPr>
        <w:tc>
          <w:tcPr>
            <w:tcW w:w="1522" w:type="dxa"/>
            <w:noWrap/>
            <w:vAlign w:val="center"/>
            <w:hideMark/>
          </w:tcPr>
          <w:p w14:paraId="06740F01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proofErr w:type="spellStart"/>
            <w:r w:rsidRPr="007D23A1">
              <w:rPr>
                <w:rFonts w:eastAsiaTheme="minorEastAsia"/>
                <w:sz w:val="21"/>
              </w:rPr>
              <w:t>Yasunaga</w:t>
            </w:r>
            <w:proofErr w:type="spellEnd"/>
            <w:r w:rsidRPr="007D23A1">
              <w:rPr>
                <w:rFonts w:eastAsiaTheme="minorEastAsia"/>
                <w:sz w:val="21"/>
              </w:rPr>
              <w:t xml:space="preserve"> 2022</w:t>
            </w:r>
          </w:p>
        </w:tc>
        <w:tc>
          <w:tcPr>
            <w:tcW w:w="1826" w:type="dxa"/>
            <w:noWrap/>
            <w:vAlign w:val="center"/>
            <w:hideMark/>
          </w:tcPr>
          <w:p w14:paraId="2D704EF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609" w:type="dxa"/>
            <w:noWrap/>
            <w:vAlign w:val="center"/>
            <w:hideMark/>
          </w:tcPr>
          <w:p w14:paraId="4891222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441" w:type="dxa"/>
            <w:noWrap/>
            <w:vAlign w:val="center"/>
            <w:hideMark/>
          </w:tcPr>
          <w:p w14:paraId="02D831A0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19" w:type="dxa"/>
            <w:noWrap/>
            <w:vAlign w:val="center"/>
            <w:hideMark/>
          </w:tcPr>
          <w:p w14:paraId="3AF4797A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2202" w:type="dxa"/>
            <w:noWrap/>
            <w:vAlign w:val="center"/>
            <w:hideMark/>
          </w:tcPr>
          <w:p w14:paraId="4FE5198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★★</w:t>
            </w:r>
          </w:p>
        </w:tc>
        <w:tc>
          <w:tcPr>
            <w:tcW w:w="1208" w:type="dxa"/>
            <w:noWrap/>
            <w:vAlign w:val="center"/>
            <w:hideMark/>
          </w:tcPr>
          <w:p w14:paraId="2312646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844" w:type="dxa"/>
            <w:noWrap/>
            <w:vAlign w:val="center"/>
            <w:hideMark/>
          </w:tcPr>
          <w:p w14:paraId="13A3B5DE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ascii="Segoe UI Symbol" w:eastAsiaTheme="minorEastAsia" w:hAnsi="Segoe UI Symbol" w:cs="Segoe UI Symbol"/>
                <w:sz w:val="21"/>
              </w:rPr>
              <w:t>★</w:t>
            </w:r>
          </w:p>
        </w:tc>
        <w:tc>
          <w:tcPr>
            <w:tcW w:w="1394" w:type="dxa"/>
            <w:noWrap/>
            <w:vAlign w:val="center"/>
            <w:hideMark/>
          </w:tcPr>
          <w:p w14:paraId="0A84BA54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-</w:t>
            </w:r>
          </w:p>
        </w:tc>
        <w:tc>
          <w:tcPr>
            <w:tcW w:w="905" w:type="dxa"/>
            <w:noWrap/>
            <w:vAlign w:val="center"/>
            <w:hideMark/>
          </w:tcPr>
          <w:p w14:paraId="20ECD03B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8</w:t>
            </w:r>
          </w:p>
        </w:tc>
      </w:tr>
    </w:tbl>
    <w:p w14:paraId="73A667FE" w14:textId="7777F42B" w:rsidR="00A61914" w:rsidRDefault="00A61914" w:rsidP="00A61914">
      <w:pPr>
        <w:ind w:firstLine="420"/>
        <w:rPr>
          <w:rFonts w:eastAsiaTheme="minorEastAsia"/>
        </w:rPr>
      </w:pPr>
    </w:p>
    <w:p w14:paraId="4FDF0D5B" w14:textId="3B104017" w:rsidR="00A61914" w:rsidRDefault="00A61914" w:rsidP="00A61914">
      <w:pPr>
        <w:ind w:firstLine="420"/>
        <w:rPr>
          <w:rFonts w:eastAsiaTheme="minorEastAsia"/>
        </w:rPr>
      </w:pPr>
    </w:p>
    <w:p w14:paraId="1CB694BF" w14:textId="34EC17C5" w:rsidR="00A61914" w:rsidRPr="00D9455A" w:rsidRDefault="00A61914" w:rsidP="007D23A1">
      <w:pPr>
        <w:pStyle w:val="a3"/>
        <w:rPr>
          <w:rFonts w:eastAsiaTheme="minorEastAsia"/>
        </w:rPr>
      </w:pPr>
      <w:r w:rsidRPr="00A61914">
        <w:rPr>
          <w:rFonts w:eastAsia="宋体"/>
        </w:rPr>
        <w:t>Supplementary Table</w:t>
      </w:r>
      <w:r w:rsidRPr="00D9455A">
        <w:rPr>
          <w:rFonts w:hint="eastAsia"/>
        </w:rPr>
        <w:t xml:space="preserve"> 2. Literature quality evaluation form (RCT).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350"/>
        <w:gridCol w:w="2186"/>
        <w:gridCol w:w="1289"/>
        <w:gridCol w:w="1392"/>
        <w:gridCol w:w="1392"/>
        <w:gridCol w:w="1525"/>
        <w:gridCol w:w="1392"/>
        <w:gridCol w:w="1392"/>
      </w:tblGrid>
      <w:tr w:rsidR="007D23A1" w:rsidRPr="007D23A1" w14:paraId="18A4FC52" w14:textId="77777777" w:rsidTr="007D23A1">
        <w:trPr>
          <w:trHeight w:val="231"/>
          <w:jc w:val="center"/>
        </w:trPr>
        <w:tc>
          <w:tcPr>
            <w:tcW w:w="1555" w:type="dxa"/>
            <w:noWrap/>
            <w:vAlign w:val="center"/>
            <w:hideMark/>
          </w:tcPr>
          <w:p w14:paraId="55CB0EFC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Study</w:t>
            </w:r>
          </w:p>
        </w:tc>
        <w:tc>
          <w:tcPr>
            <w:tcW w:w="2350" w:type="dxa"/>
            <w:noWrap/>
            <w:vAlign w:val="center"/>
            <w:hideMark/>
          </w:tcPr>
          <w:p w14:paraId="6A0ACDD5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Selection (random sequence generation)</w:t>
            </w:r>
          </w:p>
        </w:tc>
        <w:tc>
          <w:tcPr>
            <w:tcW w:w="2186" w:type="dxa"/>
            <w:noWrap/>
            <w:vAlign w:val="center"/>
            <w:hideMark/>
          </w:tcPr>
          <w:p w14:paraId="3B8760F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Selection (allocation concealment)</w:t>
            </w:r>
          </w:p>
        </w:tc>
        <w:tc>
          <w:tcPr>
            <w:tcW w:w="1278" w:type="dxa"/>
            <w:noWrap/>
            <w:vAlign w:val="center"/>
            <w:hideMark/>
          </w:tcPr>
          <w:p w14:paraId="53A08002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Performance</w:t>
            </w:r>
          </w:p>
        </w:tc>
        <w:tc>
          <w:tcPr>
            <w:tcW w:w="1392" w:type="dxa"/>
            <w:noWrap/>
            <w:vAlign w:val="center"/>
            <w:hideMark/>
          </w:tcPr>
          <w:p w14:paraId="4F5BAC1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Detection</w:t>
            </w:r>
          </w:p>
        </w:tc>
        <w:tc>
          <w:tcPr>
            <w:tcW w:w="1392" w:type="dxa"/>
            <w:noWrap/>
            <w:vAlign w:val="center"/>
            <w:hideMark/>
          </w:tcPr>
          <w:p w14:paraId="0AE690C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Attrition</w:t>
            </w:r>
          </w:p>
        </w:tc>
        <w:tc>
          <w:tcPr>
            <w:tcW w:w="1525" w:type="dxa"/>
            <w:noWrap/>
            <w:vAlign w:val="center"/>
            <w:hideMark/>
          </w:tcPr>
          <w:p w14:paraId="4A4CFDA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proofErr w:type="spellStart"/>
            <w:r w:rsidRPr="007D23A1">
              <w:rPr>
                <w:rFonts w:eastAsiaTheme="minorEastAsia"/>
                <w:sz w:val="21"/>
              </w:rPr>
              <w:t>Reportiong</w:t>
            </w:r>
            <w:proofErr w:type="spellEnd"/>
          </w:p>
        </w:tc>
        <w:tc>
          <w:tcPr>
            <w:tcW w:w="1392" w:type="dxa"/>
            <w:noWrap/>
            <w:vAlign w:val="center"/>
            <w:hideMark/>
          </w:tcPr>
          <w:p w14:paraId="06AAF37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Other</w:t>
            </w:r>
          </w:p>
        </w:tc>
        <w:tc>
          <w:tcPr>
            <w:tcW w:w="1392" w:type="dxa"/>
            <w:noWrap/>
            <w:vAlign w:val="center"/>
            <w:hideMark/>
          </w:tcPr>
          <w:p w14:paraId="6749E361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Overall bias</w:t>
            </w:r>
          </w:p>
        </w:tc>
      </w:tr>
      <w:tr w:rsidR="007D23A1" w:rsidRPr="007D23A1" w14:paraId="2414E69C" w14:textId="77777777" w:rsidTr="007D23A1">
        <w:trPr>
          <w:trHeight w:val="231"/>
          <w:jc w:val="center"/>
        </w:trPr>
        <w:tc>
          <w:tcPr>
            <w:tcW w:w="1555" w:type="dxa"/>
            <w:noWrap/>
            <w:vAlign w:val="center"/>
            <w:hideMark/>
          </w:tcPr>
          <w:p w14:paraId="0C70A7D7" w14:textId="77777777" w:rsidR="007D23A1" w:rsidRPr="007D23A1" w:rsidRDefault="007D23A1" w:rsidP="007D23A1">
            <w:pPr>
              <w:ind w:firstLineChars="0" w:firstLine="0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Tewari 2017</w:t>
            </w:r>
          </w:p>
        </w:tc>
        <w:tc>
          <w:tcPr>
            <w:tcW w:w="2350" w:type="dxa"/>
            <w:noWrap/>
            <w:vAlign w:val="center"/>
            <w:hideMark/>
          </w:tcPr>
          <w:p w14:paraId="58E3929C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  <w:tc>
          <w:tcPr>
            <w:tcW w:w="2186" w:type="dxa"/>
            <w:noWrap/>
            <w:vAlign w:val="center"/>
            <w:hideMark/>
          </w:tcPr>
          <w:p w14:paraId="2D7C4AA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Unclear</w:t>
            </w:r>
          </w:p>
        </w:tc>
        <w:tc>
          <w:tcPr>
            <w:tcW w:w="1278" w:type="dxa"/>
            <w:noWrap/>
            <w:vAlign w:val="center"/>
            <w:hideMark/>
          </w:tcPr>
          <w:p w14:paraId="1448DCA9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  <w:tc>
          <w:tcPr>
            <w:tcW w:w="1392" w:type="dxa"/>
            <w:noWrap/>
            <w:vAlign w:val="center"/>
            <w:hideMark/>
          </w:tcPr>
          <w:p w14:paraId="4A45F9C3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  <w:tc>
          <w:tcPr>
            <w:tcW w:w="1392" w:type="dxa"/>
            <w:noWrap/>
            <w:vAlign w:val="center"/>
            <w:hideMark/>
          </w:tcPr>
          <w:p w14:paraId="798B9AC8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  <w:tc>
          <w:tcPr>
            <w:tcW w:w="1525" w:type="dxa"/>
            <w:noWrap/>
            <w:vAlign w:val="center"/>
            <w:hideMark/>
          </w:tcPr>
          <w:p w14:paraId="7BBDEEE7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  <w:tc>
          <w:tcPr>
            <w:tcW w:w="1392" w:type="dxa"/>
            <w:noWrap/>
            <w:vAlign w:val="center"/>
            <w:hideMark/>
          </w:tcPr>
          <w:p w14:paraId="408304AF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Unclear</w:t>
            </w:r>
          </w:p>
        </w:tc>
        <w:tc>
          <w:tcPr>
            <w:tcW w:w="1392" w:type="dxa"/>
            <w:noWrap/>
            <w:vAlign w:val="center"/>
            <w:hideMark/>
          </w:tcPr>
          <w:p w14:paraId="7D5795A5" w14:textId="77777777" w:rsidR="007D23A1" w:rsidRPr="007D23A1" w:rsidRDefault="007D23A1" w:rsidP="007D23A1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7D23A1">
              <w:rPr>
                <w:rFonts w:eastAsiaTheme="minorEastAsia"/>
                <w:sz w:val="21"/>
              </w:rPr>
              <w:t>Low</w:t>
            </w:r>
          </w:p>
        </w:tc>
      </w:tr>
    </w:tbl>
    <w:p w14:paraId="797778A3" w14:textId="4CF5956E" w:rsidR="00A61914" w:rsidRDefault="00A61914" w:rsidP="00A61914">
      <w:pPr>
        <w:ind w:firstLine="420"/>
        <w:rPr>
          <w:rFonts w:eastAsiaTheme="minorEastAsia"/>
        </w:rPr>
      </w:pPr>
    </w:p>
    <w:p w14:paraId="04726BF0" w14:textId="77777777" w:rsidR="007D23A1" w:rsidRPr="00A61914" w:rsidRDefault="007D23A1" w:rsidP="00A61914">
      <w:pPr>
        <w:ind w:firstLine="420"/>
        <w:rPr>
          <w:rFonts w:eastAsiaTheme="minorEastAsia"/>
        </w:rPr>
      </w:pPr>
    </w:p>
    <w:sectPr w:rsidR="007D23A1" w:rsidRPr="00A61914" w:rsidSect="00BD3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2" w:right="992" w:bottom="992" w:left="992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72673" w14:textId="77777777" w:rsidR="00A61914" w:rsidRDefault="00A61914" w:rsidP="00A61914">
      <w:pPr>
        <w:ind w:firstLine="420"/>
      </w:pPr>
      <w:r>
        <w:separator/>
      </w:r>
    </w:p>
  </w:endnote>
  <w:endnote w:type="continuationSeparator" w:id="0">
    <w:p w14:paraId="556FB8AC" w14:textId="77777777" w:rsidR="00A61914" w:rsidRDefault="00A61914" w:rsidP="00A6191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FB0C8" w14:textId="77777777" w:rsidR="00A61914" w:rsidRDefault="00A61914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310203"/>
      <w:docPartObj>
        <w:docPartGallery w:val="Page Numbers (Bottom of Page)"/>
        <w:docPartUnique/>
      </w:docPartObj>
    </w:sdtPr>
    <w:sdtEndPr/>
    <w:sdtContent>
      <w:p w14:paraId="60D5B570" w14:textId="26EEB0E1" w:rsidR="007D23A1" w:rsidRDefault="007D23A1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35A" w:rsidRPr="0006335A">
          <w:rPr>
            <w:noProof/>
            <w:lang w:val="zh-CN"/>
          </w:rPr>
          <w:t>1</w:t>
        </w:r>
        <w:r>
          <w:fldChar w:fldCharType="end"/>
        </w:r>
      </w:p>
    </w:sdtContent>
  </w:sdt>
  <w:p w14:paraId="7BFAE7FB" w14:textId="77777777" w:rsidR="00A61914" w:rsidRDefault="00A61914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5ED11" w14:textId="77777777" w:rsidR="00A61914" w:rsidRDefault="00A61914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9B16D" w14:textId="77777777" w:rsidR="00A61914" w:rsidRDefault="00A61914" w:rsidP="00A61914">
      <w:pPr>
        <w:ind w:firstLine="420"/>
      </w:pPr>
      <w:r>
        <w:separator/>
      </w:r>
    </w:p>
  </w:footnote>
  <w:footnote w:type="continuationSeparator" w:id="0">
    <w:p w14:paraId="670893C0" w14:textId="77777777" w:rsidR="00A61914" w:rsidRDefault="00A61914" w:rsidP="00A6191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41B1F" w14:textId="77777777" w:rsidR="00A61914" w:rsidRDefault="00A61914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A4B32" w14:textId="77777777" w:rsidR="00A61914" w:rsidRDefault="00A61914" w:rsidP="00A61914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16086" w14:textId="77777777" w:rsidR="00A61914" w:rsidRDefault="00A61914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6A42CAB2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14"/>
    <w:rsid w:val="0006335A"/>
    <w:rsid w:val="00731670"/>
    <w:rsid w:val="007D23A1"/>
    <w:rsid w:val="00A61914"/>
    <w:rsid w:val="00BD366C"/>
    <w:rsid w:val="00B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55639"/>
  <w15:chartTrackingRefBased/>
  <w15:docId w15:val="{AFDF6CE7-8CDE-4F71-B174-7D60D46D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1D1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BF21D1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BF21D1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BF21D1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BF21D1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F21D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F21D1"/>
    <w:pPr>
      <w:keepNext/>
      <w:keepLines/>
      <w:numPr>
        <w:ilvl w:val="5"/>
        <w:numId w:val="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BF21D1"/>
    <w:pPr>
      <w:keepNext/>
      <w:keepLines/>
      <w:numPr>
        <w:ilvl w:val="6"/>
        <w:numId w:val="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F21D1"/>
    <w:pPr>
      <w:keepNext/>
      <w:keepLines/>
      <w:numPr>
        <w:ilvl w:val="7"/>
        <w:numId w:val="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21D1"/>
    <w:pPr>
      <w:keepNext/>
      <w:keepLines/>
      <w:numPr>
        <w:ilvl w:val="8"/>
        <w:numId w:val="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BF21D1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BF21D1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BF21D1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BF21D1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BF21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BF21D1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BF21D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BF21D1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BF21D1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A61914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4">
    <w:name w:val="表注"/>
    <w:basedOn w:val="a3"/>
    <w:autoRedefine/>
    <w:qFormat/>
    <w:rsid w:val="00BF21D1"/>
    <w:pPr>
      <w:adjustRightInd w:val="0"/>
      <w:snapToGrid w:val="0"/>
      <w:spacing w:beforeLines="0" w:before="0" w:afterLines="0" w:after="0"/>
    </w:pPr>
    <w:rPr>
      <w:b w:val="0"/>
    </w:rPr>
  </w:style>
  <w:style w:type="paragraph" w:customStyle="1" w:styleId="a5">
    <w:name w:val="参考文献"/>
    <w:basedOn w:val="a"/>
    <w:autoRedefine/>
    <w:qFormat/>
    <w:rsid w:val="00BF21D1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BF21D1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BF21D1"/>
    <w:pPr>
      <w:ind w:firstLineChars="0" w:firstLine="0"/>
    </w:pPr>
    <w:rPr>
      <w:noProof/>
    </w:rPr>
  </w:style>
  <w:style w:type="paragraph" w:customStyle="1" w:styleId="a8">
    <w:name w:val="机构信息"/>
    <w:basedOn w:val="a"/>
    <w:link w:val="a9"/>
    <w:autoRedefine/>
    <w:qFormat/>
    <w:rsid w:val="00BF21D1"/>
    <w:pPr>
      <w:ind w:firstLineChars="0" w:firstLine="0"/>
    </w:pPr>
    <w:rPr>
      <w:i/>
    </w:rPr>
  </w:style>
  <w:style w:type="character" w:customStyle="1" w:styleId="a9">
    <w:name w:val="机构信息 字符"/>
    <w:link w:val="a8"/>
    <w:rsid w:val="00BF21D1"/>
    <w:rPr>
      <w:rFonts w:ascii="Times New Roman" w:eastAsia="Times New Roman" w:hAnsi="Times New Roman" w:cs="Times New Roman"/>
      <w:i/>
      <w:szCs w:val="21"/>
    </w:rPr>
  </w:style>
  <w:style w:type="paragraph" w:customStyle="1" w:styleId="aa">
    <w:name w:val="接收日期"/>
    <w:basedOn w:val="a"/>
    <w:autoRedefine/>
    <w:qFormat/>
    <w:rsid w:val="00BF21D1"/>
    <w:pPr>
      <w:ind w:firstLineChars="0" w:firstLine="0"/>
    </w:pPr>
  </w:style>
  <w:style w:type="paragraph" w:styleId="ab">
    <w:name w:val="Normal (Web)"/>
    <w:basedOn w:val="a"/>
    <w:uiPriority w:val="99"/>
    <w:unhideWhenUsed/>
    <w:rsid w:val="00BF21D1"/>
    <w:pPr>
      <w:spacing w:before="100" w:beforeAutospacing="1" w:after="100" w:afterAutospacing="1"/>
    </w:pPr>
    <w:rPr>
      <w:lang w:eastAsia="en-US"/>
    </w:rPr>
  </w:style>
  <w:style w:type="paragraph" w:customStyle="1" w:styleId="ac">
    <w:name w:val="通讯作者"/>
    <w:basedOn w:val="a"/>
    <w:autoRedefine/>
    <w:qFormat/>
    <w:rsid w:val="00BF21D1"/>
    <w:pPr>
      <w:ind w:firstLineChars="0" w:firstLine="0"/>
    </w:pPr>
  </w:style>
  <w:style w:type="paragraph" w:customStyle="1" w:styleId="ad">
    <w:name w:val="图注"/>
    <w:basedOn w:val="a4"/>
    <w:autoRedefine/>
    <w:qFormat/>
    <w:rsid w:val="00BF21D1"/>
  </w:style>
  <w:style w:type="table" w:styleId="ae">
    <w:name w:val="Table Grid"/>
    <w:basedOn w:val="a1"/>
    <w:uiPriority w:val="59"/>
    <w:qFormat/>
    <w:rsid w:val="00BF21D1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文章标题"/>
    <w:basedOn w:val="a"/>
    <w:link w:val="af0"/>
    <w:autoRedefine/>
    <w:qFormat/>
    <w:rsid w:val="00A61914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rsid w:val="00A61914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1">
    <w:name w:val="文章内容"/>
    <w:basedOn w:val="a"/>
    <w:link w:val="af2"/>
    <w:autoRedefine/>
    <w:rsid w:val="00BF21D1"/>
    <w:pPr>
      <w:ind w:firstLine="420"/>
    </w:pPr>
    <w:rPr>
      <w:color w:val="000000"/>
    </w:rPr>
  </w:style>
  <w:style w:type="character" w:customStyle="1" w:styleId="af2">
    <w:name w:val="文章内容 字符"/>
    <w:link w:val="af1"/>
    <w:rsid w:val="00BF21D1"/>
    <w:rPr>
      <w:rFonts w:ascii="Times New Roman" w:eastAsia="Times New Roman" w:hAnsi="Times New Roman" w:cs="Times New Roman"/>
      <w:color w:val="000000"/>
      <w:szCs w:val="21"/>
    </w:rPr>
  </w:style>
  <w:style w:type="character" w:styleId="af3">
    <w:name w:val="line number"/>
    <w:uiPriority w:val="99"/>
    <w:semiHidden/>
    <w:unhideWhenUsed/>
    <w:rsid w:val="00BF21D1"/>
  </w:style>
  <w:style w:type="paragraph" w:styleId="af4">
    <w:name w:val="footer"/>
    <w:basedOn w:val="a"/>
    <w:link w:val="af5"/>
    <w:uiPriority w:val="99"/>
    <w:unhideWhenUsed/>
    <w:rsid w:val="00BF2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BF21D1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BF2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BF21D1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BF21D1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BF21D1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BF21D1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BF21D1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BF21D1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BF21D1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BF21D1"/>
    <w:pPr>
      <w:ind w:firstLineChars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Yeo</dc:creator>
  <cp:keywords/>
  <dc:description/>
  <cp:lastModifiedBy>Monique </cp:lastModifiedBy>
  <cp:revision>4</cp:revision>
  <dcterms:created xsi:type="dcterms:W3CDTF">2025-03-20T06:14:00Z</dcterms:created>
  <dcterms:modified xsi:type="dcterms:W3CDTF">2025-04-21T00:36:00Z</dcterms:modified>
</cp:coreProperties>
</file>